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35F5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清单编制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说明</w:t>
      </w:r>
    </w:p>
    <w:p w14:paraId="1496DB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工程名称：温州市三溪片区瓯海中心南单元D-15地块（广德家园）新增坡道雨棚工程</w:t>
      </w:r>
    </w:p>
    <w:tbl>
      <w:tblPr>
        <w:tblStyle w:val="6"/>
        <w:tblW w:w="10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0ED5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0260" w:type="dxa"/>
          </w:tcPr>
          <w:p w14:paraId="5EB3E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一、工程概况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：详见招标文件。</w:t>
            </w:r>
          </w:p>
          <w:p w14:paraId="029AD421">
            <w:pPr>
              <w:keepNext w:val="0"/>
              <w:keepLines w:val="0"/>
              <w:pageBreakBefore w:val="0"/>
              <w:widowControl w:val="0"/>
              <w:tabs>
                <w:tab w:val="right" w:pos="10044"/>
              </w:tabs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二、招标范围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：温州市三溪片区瓯海中心南单元D-15地块（广德家园）新增坡道雨棚工程。</w:t>
            </w:r>
          </w:p>
          <w:p w14:paraId="01DB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三、工程量清单编制依据：</w:t>
            </w:r>
          </w:p>
          <w:p w14:paraId="69C4E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《建设工程工程量清单计价规范》（GB50500-2013）</w:t>
            </w:r>
          </w:p>
          <w:p w14:paraId="406B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建建发〔201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号文件关于增值税调整后我省建设工程计价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依据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增值税税率及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计价调整的通知</w:t>
            </w:r>
          </w:p>
          <w:p w14:paraId="0763F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</w:t>
            </w:r>
          </w:p>
          <w:p w14:paraId="17CD9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省、市有关工程造价的有关政策规定</w:t>
            </w:r>
          </w:p>
          <w:p w14:paraId="514F384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right" w:pos="1004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与建设项目相关的标准、图集、规范、技术资料、文件、解释等；</w:t>
            </w:r>
          </w:p>
          <w:p w14:paraId="3666352E">
            <w:pPr>
              <w:pStyle w:val="12"/>
              <w:keepNext w:val="0"/>
              <w:keepLines w:val="0"/>
              <w:pageBreakBefore w:val="0"/>
              <w:widowControl w:val="0"/>
              <w:tabs>
                <w:tab w:val="right" w:pos="10044"/>
              </w:tabs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BA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四、清单编制说明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750D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（一）通用说明</w:t>
            </w:r>
          </w:p>
          <w:p w14:paraId="02F15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本清单描述与设计不同的按本清单，本清单没有具体描述的工作内容和做法均按《GB50500-2013》规范和设计要求。</w:t>
            </w:r>
          </w:p>
          <w:p w14:paraId="1FEF8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本说明不做为施工的最后依据，具体施工时，由建设单位、施工单位、设计单位、监理单位及有关主管单位经过会审后方可施工。</w:t>
            </w:r>
          </w:p>
          <w:p w14:paraId="13F8C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对于本工程的个别节点做法，本清单只描述了主要要素，投标单位需根据设计图纸全面考虑并包含在主要工程量清单报价内。</w:t>
            </w:r>
          </w:p>
          <w:p w14:paraId="197C5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预埋件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已含在相应构件中，不另行列项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B4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清单中项目特征如有描述不清处请各投标单位应结合施工图纸报价，综合单价应包括完成该项目所需的所有费用。</w:t>
            </w:r>
          </w:p>
          <w:p w14:paraId="54B0A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工程量清单和施工图设计要求所涉及颜色的项目或材料，其最终采用何种颜色由建设单位确定，由此增加的费用投标单位均在各工程量清单项目的综合报价中考虑。</w:t>
            </w:r>
          </w:p>
          <w:p w14:paraId="3FBB89F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工程计量依据及做法说明</w:t>
            </w:r>
          </w:p>
          <w:p w14:paraId="3A1CDE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钢结构及幕墙说明</w:t>
            </w:r>
          </w:p>
          <w:p w14:paraId="3023D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钢构件连接、钢构件与锚板的连接均采用开坡口的全熔透对接焊缝。</w:t>
            </w:r>
          </w:p>
          <w:p w14:paraId="21F2D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钢柱与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用钢板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0AD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立面中间横向采用80*80*6mm的方管</w:t>
            </w:r>
          </w:p>
          <w:p w14:paraId="0A404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铝板节点与平面厚度不一致，经设计回复，按平面标注厚度计取；</w:t>
            </w:r>
          </w:p>
          <w:p w14:paraId="79014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经业主回复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夹胶玻璃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变为5厚PC耐力板，钢构件、耐力板规格尺寸可按图施工。耐力板需安装好收边条，钻孔后使用自攻螺丝加橡胶垫片固定，接缝使用中接条，板与板之间留一点缝隙方便热胀冷缩，板与板的接缝处和螺丝孔周围需涂上中性密封胶，防止漏水和灰尘进入，具体做法详见联系单。</w:t>
            </w:r>
          </w:p>
          <w:p w14:paraId="4BE6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以下空白</w:t>
            </w:r>
          </w:p>
          <w:p w14:paraId="62C0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0817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0EF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11A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058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AA0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212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928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3A5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DCEE536">
      <w:pPr>
        <w:spacing w:line="220" w:lineRule="atLeast"/>
        <w:rPr>
          <w:sz w:val="24"/>
          <w:szCs w:val="24"/>
        </w:rPr>
      </w:pPr>
    </w:p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09A7B"/>
    <w:multiLevelType w:val="singleLevel"/>
    <w:tmpl w:val="C1909A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A54D68"/>
    <w:multiLevelType w:val="multilevel"/>
    <w:tmpl w:val="0CA54D6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82B222F"/>
    <w:multiLevelType w:val="singleLevel"/>
    <w:tmpl w:val="582B222F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/>
      </w:rPr>
    </w:lvl>
  </w:abstractNum>
  <w:abstractNum w:abstractNumId="3">
    <w:nsid w:val="59EC6678"/>
    <w:multiLevelType w:val="singleLevel"/>
    <w:tmpl w:val="59EC6678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78EC"/>
    <w:rsid w:val="00010DAC"/>
    <w:rsid w:val="000149B7"/>
    <w:rsid w:val="00024B5F"/>
    <w:rsid w:val="00067C23"/>
    <w:rsid w:val="00067C92"/>
    <w:rsid w:val="00083C10"/>
    <w:rsid w:val="00093609"/>
    <w:rsid w:val="000A528B"/>
    <w:rsid w:val="000B1AC4"/>
    <w:rsid w:val="000B4613"/>
    <w:rsid w:val="000C3350"/>
    <w:rsid w:val="000C6BFE"/>
    <w:rsid w:val="000E0EC5"/>
    <w:rsid w:val="0010295B"/>
    <w:rsid w:val="001061A4"/>
    <w:rsid w:val="00130C56"/>
    <w:rsid w:val="00162FA5"/>
    <w:rsid w:val="0016322B"/>
    <w:rsid w:val="00166A74"/>
    <w:rsid w:val="001870B4"/>
    <w:rsid w:val="00190F2D"/>
    <w:rsid w:val="001B3EC5"/>
    <w:rsid w:val="001B6A1E"/>
    <w:rsid w:val="001E2D64"/>
    <w:rsid w:val="001E7224"/>
    <w:rsid w:val="002146E8"/>
    <w:rsid w:val="00215661"/>
    <w:rsid w:val="002166C8"/>
    <w:rsid w:val="00225812"/>
    <w:rsid w:val="002274BF"/>
    <w:rsid w:val="00235693"/>
    <w:rsid w:val="00251C9B"/>
    <w:rsid w:val="00257F2E"/>
    <w:rsid w:val="00266B9C"/>
    <w:rsid w:val="00272571"/>
    <w:rsid w:val="002A5297"/>
    <w:rsid w:val="002A59AA"/>
    <w:rsid w:val="002A7A8B"/>
    <w:rsid w:val="002B4055"/>
    <w:rsid w:val="002B55C8"/>
    <w:rsid w:val="002D1301"/>
    <w:rsid w:val="002E52F5"/>
    <w:rsid w:val="002F5CFA"/>
    <w:rsid w:val="00302EA1"/>
    <w:rsid w:val="003050CF"/>
    <w:rsid w:val="00311AAD"/>
    <w:rsid w:val="00323B43"/>
    <w:rsid w:val="0033306F"/>
    <w:rsid w:val="003448E7"/>
    <w:rsid w:val="00344942"/>
    <w:rsid w:val="003504A0"/>
    <w:rsid w:val="003636DC"/>
    <w:rsid w:val="00363778"/>
    <w:rsid w:val="003818A7"/>
    <w:rsid w:val="003B2EC6"/>
    <w:rsid w:val="003B567C"/>
    <w:rsid w:val="003B5878"/>
    <w:rsid w:val="003C064E"/>
    <w:rsid w:val="003D37D8"/>
    <w:rsid w:val="003D6BA2"/>
    <w:rsid w:val="003F2923"/>
    <w:rsid w:val="003F316F"/>
    <w:rsid w:val="003F61D6"/>
    <w:rsid w:val="00422961"/>
    <w:rsid w:val="00426133"/>
    <w:rsid w:val="00427FD8"/>
    <w:rsid w:val="004313E2"/>
    <w:rsid w:val="00434141"/>
    <w:rsid w:val="004358AB"/>
    <w:rsid w:val="0044174F"/>
    <w:rsid w:val="00441CA6"/>
    <w:rsid w:val="00442274"/>
    <w:rsid w:val="00443512"/>
    <w:rsid w:val="00450B63"/>
    <w:rsid w:val="00454F88"/>
    <w:rsid w:val="00455E1B"/>
    <w:rsid w:val="00460A94"/>
    <w:rsid w:val="00466A8F"/>
    <w:rsid w:val="00483E8A"/>
    <w:rsid w:val="004B5E7A"/>
    <w:rsid w:val="004F2430"/>
    <w:rsid w:val="004F6366"/>
    <w:rsid w:val="00510130"/>
    <w:rsid w:val="00522E89"/>
    <w:rsid w:val="00525BC2"/>
    <w:rsid w:val="00557E35"/>
    <w:rsid w:val="005757AA"/>
    <w:rsid w:val="00595423"/>
    <w:rsid w:val="005A3BC9"/>
    <w:rsid w:val="005A5975"/>
    <w:rsid w:val="005A59DF"/>
    <w:rsid w:val="005B59ED"/>
    <w:rsid w:val="005C118F"/>
    <w:rsid w:val="005C65AB"/>
    <w:rsid w:val="00602813"/>
    <w:rsid w:val="00660808"/>
    <w:rsid w:val="00661124"/>
    <w:rsid w:val="00673964"/>
    <w:rsid w:val="00673DCB"/>
    <w:rsid w:val="00686919"/>
    <w:rsid w:val="006A0931"/>
    <w:rsid w:val="006B218B"/>
    <w:rsid w:val="006B336F"/>
    <w:rsid w:val="006C65B8"/>
    <w:rsid w:val="006E2C96"/>
    <w:rsid w:val="00700984"/>
    <w:rsid w:val="00704424"/>
    <w:rsid w:val="00707580"/>
    <w:rsid w:val="00723778"/>
    <w:rsid w:val="00727E23"/>
    <w:rsid w:val="00742B57"/>
    <w:rsid w:val="0075382F"/>
    <w:rsid w:val="00770CED"/>
    <w:rsid w:val="00776A66"/>
    <w:rsid w:val="007923A9"/>
    <w:rsid w:val="007943BE"/>
    <w:rsid w:val="007B5653"/>
    <w:rsid w:val="007B62BD"/>
    <w:rsid w:val="007C614A"/>
    <w:rsid w:val="007D1F96"/>
    <w:rsid w:val="007D3BBC"/>
    <w:rsid w:val="007F0554"/>
    <w:rsid w:val="00811E8A"/>
    <w:rsid w:val="00813051"/>
    <w:rsid w:val="0085635A"/>
    <w:rsid w:val="008638D2"/>
    <w:rsid w:val="0088083C"/>
    <w:rsid w:val="00892299"/>
    <w:rsid w:val="008A3EAC"/>
    <w:rsid w:val="008B3AEF"/>
    <w:rsid w:val="008B7726"/>
    <w:rsid w:val="00900D36"/>
    <w:rsid w:val="00913F79"/>
    <w:rsid w:val="009175E5"/>
    <w:rsid w:val="00966538"/>
    <w:rsid w:val="00966E9C"/>
    <w:rsid w:val="009705DA"/>
    <w:rsid w:val="00981432"/>
    <w:rsid w:val="00983FC7"/>
    <w:rsid w:val="00991531"/>
    <w:rsid w:val="009A067F"/>
    <w:rsid w:val="009A7C2A"/>
    <w:rsid w:val="009C3110"/>
    <w:rsid w:val="009E4008"/>
    <w:rsid w:val="009F5D37"/>
    <w:rsid w:val="00A06B60"/>
    <w:rsid w:val="00A106BB"/>
    <w:rsid w:val="00A2187C"/>
    <w:rsid w:val="00A3463D"/>
    <w:rsid w:val="00A50BB1"/>
    <w:rsid w:val="00A60B0F"/>
    <w:rsid w:val="00A64E47"/>
    <w:rsid w:val="00A75218"/>
    <w:rsid w:val="00A75C6E"/>
    <w:rsid w:val="00AA20AC"/>
    <w:rsid w:val="00AA4A42"/>
    <w:rsid w:val="00AB1A92"/>
    <w:rsid w:val="00AB45E9"/>
    <w:rsid w:val="00AB4C9E"/>
    <w:rsid w:val="00AC6554"/>
    <w:rsid w:val="00AD1337"/>
    <w:rsid w:val="00AD139E"/>
    <w:rsid w:val="00AD32DD"/>
    <w:rsid w:val="00AE6625"/>
    <w:rsid w:val="00AF1AF5"/>
    <w:rsid w:val="00AF4529"/>
    <w:rsid w:val="00B064DD"/>
    <w:rsid w:val="00B216BB"/>
    <w:rsid w:val="00B302BC"/>
    <w:rsid w:val="00B60199"/>
    <w:rsid w:val="00B76CA9"/>
    <w:rsid w:val="00B772D4"/>
    <w:rsid w:val="00B86623"/>
    <w:rsid w:val="00B876E7"/>
    <w:rsid w:val="00B90647"/>
    <w:rsid w:val="00B94E3D"/>
    <w:rsid w:val="00B96ABB"/>
    <w:rsid w:val="00BA641B"/>
    <w:rsid w:val="00BB0C20"/>
    <w:rsid w:val="00BD0310"/>
    <w:rsid w:val="00BE308A"/>
    <w:rsid w:val="00BE440C"/>
    <w:rsid w:val="00BE6721"/>
    <w:rsid w:val="00BF23E9"/>
    <w:rsid w:val="00BF5928"/>
    <w:rsid w:val="00BF7789"/>
    <w:rsid w:val="00C36136"/>
    <w:rsid w:val="00C36B39"/>
    <w:rsid w:val="00C44E43"/>
    <w:rsid w:val="00C97428"/>
    <w:rsid w:val="00CA01A0"/>
    <w:rsid w:val="00CC422E"/>
    <w:rsid w:val="00CE1F42"/>
    <w:rsid w:val="00CE3055"/>
    <w:rsid w:val="00CF0D9F"/>
    <w:rsid w:val="00D137BD"/>
    <w:rsid w:val="00D201FB"/>
    <w:rsid w:val="00D31D50"/>
    <w:rsid w:val="00D37E08"/>
    <w:rsid w:val="00D40C4E"/>
    <w:rsid w:val="00D61748"/>
    <w:rsid w:val="00D637AF"/>
    <w:rsid w:val="00DB314E"/>
    <w:rsid w:val="00DC3EB7"/>
    <w:rsid w:val="00DC56F7"/>
    <w:rsid w:val="00DE45AF"/>
    <w:rsid w:val="00DF376A"/>
    <w:rsid w:val="00DF5984"/>
    <w:rsid w:val="00E0534D"/>
    <w:rsid w:val="00E0708E"/>
    <w:rsid w:val="00E227EC"/>
    <w:rsid w:val="00E33EDA"/>
    <w:rsid w:val="00E35B97"/>
    <w:rsid w:val="00E603A8"/>
    <w:rsid w:val="00E73EE5"/>
    <w:rsid w:val="00E77B77"/>
    <w:rsid w:val="00E81C0E"/>
    <w:rsid w:val="00EC5688"/>
    <w:rsid w:val="00EE29EF"/>
    <w:rsid w:val="00EE4524"/>
    <w:rsid w:val="00EF4BE4"/>
    <w:rsid w:val="00F075F0"/>
    <w:rsid w:val="00F32CD6"/>
    <w:rsid w:val="00F46737"/>
    <w:rsid w:val="00F5290E"/>
    <w:rsid w:val="00F61901"/>
    <w:rsid w:val="00F64E47"/>
    <w:rsid w:val="00F776BB"/>
    <w:rsid w:val="00F968D9"/>
    <w:rsid w:val="00FA465D"/>
    <w:rsid w:val="00FA72D6"/>
    <w:rsid w:val="00FA76E2"/>
    <w:rsid w:val="00FB7685"/>
    <w:rsid w:val="00FE06FA"/>
    <w:rsid w:val="08964740"/>
    <w:rsid w:val="124D5F60"/>
    <w:rsid w:val="167C2C6A"/>
    <w:rsid w:val="183D38E9"/>
    <w:rsid w:val="1B212390"/>
    <w:rsid w:val="1C9B1D43"/>
    <w:rsid w:val="1EC9726B"/>
    <w:rsid w:val="23271FC6"/>
    <w:rsid w:val="258039DF"/>
    <w:rsid w:val="2915006B"/>
    <w:rsid w:val="2D2B2582"/>
    <w:rsid w:val="2F317589"/>
    <w:rsid w:val="35173609"/>
    <w:rsid w:val="35567DF9"/>
    <w:rsid w:val="40EC12E0"/>
    <w:rsid w:val="4534255C"/>
    <w:rsid w:val="4CCC3922"/>
    <w:rsid w:val="52F92FAF"/>
    <w:rsid w:val="54EE0887"/>
    <w:rsid w:val="58C2640F"/>
    <w:rsid w:val="62022E0A"/>
    <w:rsid w:val="79A04D8C"/>
    <w:rsid w:val="7AE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_Style 80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仿宋_GB2312" w:hAnsi="Times New Roman" w:eastAsia="仿宋_GB2312"/>
      <w:b/>
      <w:kern w:val="2"/>
      <w:sz w:val="32"/>
      <w:szCs w:val="32"/>
    </w:rPr>
  </w:style>
  <w:style w:type="paragraph" w:customStyle="1" w:styleId="14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659</Words>
  <Characters>709</Characters>
  <Lines>15</Lines>
  <Paragraphs>4</Paragraphs>
  <TotalTime>19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温州正大</cp:lastModifiedBy>
  <cp:lastPrinted>2018-03-20T07:24:00Z</cp:lastPrinted>
  <dcterms:modified xsi:type="dcterms:W3CDTF">2025-11-07T08:48:48Z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eyJoZGlkIjoiYzE1ODZlNmJiY2M3NWU2ZGQzZDA3M2UxZTY1Mzc1MzMiLCJ1c2VySWQiOiIxNTA5MzY2NTk3In0=</vt:lpwstr>
  </property>
  <property fmtid="{D5CDD505-2E9C-101B-9397-08002B2CF9AE}" pid="4" name="ICV">
    <vt:lpwstr>EE7F4E2E882E4D168A3EF7BA7BA9F849_12</vt:lpwstr>
  </property>
</Properties>
</file>